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8F" w:rsidRDefault="00CB258F" w:rsidP="00CB258F">
      <w:pPr>
        <w:spacing w:before="120" w:after="120" w:line="340" w:lineRule="exact"/>
        <w:ind w:firstLine="720"/>
        <w:jc w:val="center"/>
        <w:rPr>
          <w:rFonts w:ascii="Times New Roman" w:hAnsi="Times New Roman"/>
          <w:b/>
          <w:sz w:val="28"/>
          <w:szCs w:val="28"/>
        </w:rPr>
      </w:pPr>
      <w:r w:rsidRPr="00241048">
        <w:rPr>
          <w:rFonts w:ascii="Times New Roman" w:hAnsi="Times New Roman"/>
          <w:b/>
          <w:sz w:val="28"/>
          <w:szCs w:val="28"/>
        </w:rPr>
        <w:t xml:space="preserve">THỦ TỤC HÀNH CHÍNH </w:t>
      </w:r>
      <w:r>
        <w:rPr>
          <w:rFonts w:ascii="Times New Roman" w:hAnsi="Times New Roman"/>
          <w:b/>
          <w:sz w:val="28"/>
          <w:szCs w:val="28"/>
        </w:rPr>
        <w:t>THUỘC THẨM QUYỀN GIẢI QUYẾT CỦA CẤP XÃ</w:t>
      </w:r>
    </w:p>
    <w:p w:rsidR="00CB258F" w:rsidRPr="00241048" w:rsidRDefault="00CB258F" w:rsidP="00CB258F">
      <w:pPr>
        <w:spacing w:before="120" w:after="120" w:line="340" w:lineRule="exact"/>
        <w:ind w:firstLine="720"/>
        <w:jc w:val="center"/>
        <w:rPr>
          <w:rFonts w:ascii="Times New Roman" w:hAnsi="Times New Roman"/>
          <w:b/>
          <w:sz w:val="28"/>
          <w:szCs w:val="28"/>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951"/>
        <w:gridCol w:w="2743"/>
        <w:gridCol w:w="3118"/>
        <w:gridCol w:w="1559"/>
        <w:gridCol w:w="2410"/>
        <w:gridCol w:w="1495"/>
      </w:tblGrid>
      <w:tr w:rsidR="00CB258F" w:rsidRPr="00241048" w:rsidTr="00950CF6">
        <w:trPr>
          <w:tblHeader/>
        </w:trPr>
        <w:tc>
          <w:tcPr>
            <w:tcW w:w="835"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Pr>
                <w:rFonts w:ascii="Times New Roman" w:hAnsi="Times New Roman"/>
                <w:b/>
                <w:sz w:val="28"/>
                <w:szCs w:val="28"/>
              </w:rPr>
              <w:t>S</w:t>
            </w:r>
            <w:r w:rsidRPr="00241048">
              <w:rPr>
                <w:rFonts w:ascii="Times New Roman" w:hAnsi="Times New Roman"/>
                <w:b/>
                <w:sz w:val="28"/>
                <w:szCs w:val="28"/>
              </w:rPr>
              <w:t>TT</w:t>
            </w:r>
          </w:p>
        </w:tc>
        <w:tc>
          <w:tcPr>
            <w:tcW w:w="1951"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Tên thủ tục</w:t>
            </w:r>
          </w:p>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hành chính</w:t>
            </w:r>
          </w:p>
        </w:tc>
        <w:tc>
          <w:tcPr>
            <w:tcW w:w="2743"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Thời hạn</w:t>
            </w:r>
          </w:p>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giải quyết</w:t>
            </w:r>
          </w:p>
        </w:tc>
        <w:tc>
          <w:tcPr>
            <w:tcW w:w="3118"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Địa điểm thực hiện</w:t>
            </w:r>
          </w:p>
        </w:tc>
        <w:tc>
          <w:tcPr>
            <w:tcW w:w="1559"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Phí, lệ phí</w:t>
            </w:r>
          </w:p>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(nếu có)</w:t>
            </w:r>
          </w:p>
        </w:tc>
        <w:tc>
          <w:tcPr>
            <w:tcW w:w="2410"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t>Căn cứ pháp lý</w:t>
            </w:r>
          </w:p>
        </w:tc>
        <w:tc>
          <w:tcPr>
            <w:tcW w:w="1495" w:type="dxa"/>
            <w:vAlign w:val="center"/>
          </w:tcPr>
          <w:p w:rsidR="00CB258F" w:rsidRPr="00241048" w:rsidRDefault="00CB258F" w:rsidP="00950CF6">
            <w:pPr>
              <w:spacing w:before="120" w:after="120" w:line="340" w:lineRule="exact"/>
              <w:jc w:val="center"/>
              <w:rPr>
                <w:rFonts w:ascii="Times New Roman" w:hAnsi="Times New Roman"/>
                <w:b/>
                <w:sz w:val="28"/>
                <w:szCs w:val="28"/>
              </w:rPr>
            </w:pPr>
            <w:r>
              <w:rPr>
                <w:rFonts w:ascii="Times New Roman" w:hAnsi="Times New Roman"/>
                <w:b/>
                <w:sz w:val="28"/>
                <w:szCs w:val="28"/>
              </w:rPr>
              <w:t>Cơ chế giải quyết TTHC</w:t>
            </w:r>
          </w:p>
        </w:tc>
      </w:tr>
      <w:tr w:rsidR="00CB258F" w:rsidRPr="00241048" w:rsidTr="00950CF6">
        <w:tc>
          <w:tcPr>
            <w:tcW w:w="835" w:type="dxa"/>
          </w:tcPr>
          <w:p w:rsidR="00CB258F" w:rsidRPr="00241048" w:rsidRDefault="00CB258F" w:rsidP="00950CF6">
            <w:pPr>
              <w:spacing w:before="120" w:after="120" w:line="340" w:lineRule="exact"/>
              <w:rPr>
                <w:rFonts w:ascii="Times New Roman" w:hAnsi="Times New Roman"/>
                <w:b/>
                <w:sz w:val="28"/>
                <w:szCs w:val="28"/>
              </w:rPr>
            </w:pPr>
            <w:r w:rsidRPr="00241048">
              <w:rPr>
                <w:rFonts w:ascii="Times New Roman" w:hAnsi="Times New Roman"/>
                <w:b/>
                <w:sz w:val="28"/>
                <w:szCs w:val="28"/>
              </w:rPr>
              <w:t xml:space="preserve">I. </w:t>
            </w:r>
          </w:p>
        </w:tc>
        <w:tc>
          <w:tcPr>
            <w:tcW w:w="13276" w:type="dxa"/>
            <w:gridSpan w:val="6"/>
          </w:tcPr>
          <w:p w:rsidR="00CB258F" w:rsidRPr="00241048" w:rsidRDefault="00CB258F" w:rsidP="00950CF6">
            <w:pPr>
              <w:spacing w:before="120" w:after="120" w:line="340" w:lineRule="exact"/>
              <w:rPr>
                <w:rFonts w:ascii="Times New Roman" w:hAnsi="Times New Roman"/>
                <w:b/>
                <w:sz w:val="28"/>
                <w:szCs w:val="28"/>
              </w:rPr>
            </w:pPr>
            <w:r w:rsidRPr="00241048">
              <w:rPr>
                <w:rFonts w:ascii="Times New Roman" w:hAnsi="Times New Roman"/>
                <w:b/>
                <w:sz w:val="28"/>
                <w:szCs w:val="28"/>
              </w:rPr>
              <w:t>LĨNH VỰC VĂN HÓA</w:t>
            </w:r>
          </w:p>
        </w:tc>
      </w:tr>
      <w:tr w:rsidR="00CB258F" w:rsidRPr="00241048" w:rsidTr="00950CF6">
        <w:tc>
          <w:tcPr>
            <w:tcW w:w="835" w:type="dxa"/>
          </w:tcPr>
          <w:p w:rsidR="00CB258F" w:rsidRPr="00241048" w:rsidRDefault="00CB258F" w:rsidP="00950CF6">
            <w:pPr>
              <w:spacing w:before="120" w:after="120" w:line="340" w:lineRule="exact"/>
              <w:rPr>
                <w:rFonts w:ascii="Times New Roman" w:hAnsi="Times New Roman"/>
                <w:b/>
                <w:sz w:val="28"/>
                <w:szCs w:val="28"/>
              </w:rPr>
            </w:pPr>
            <w:r w:rsidRPr="00241048">
              <w:rPr>
                <w:rFonts w:ascii="Times New Roman" w:hAnsi="Times New Roman"/>
                <w:b/>
                <w:sz w:val="28"/>
                <w:szCs w:val="28"/>
              </w:rPr>
              <w:t xml:space="preserve">1.1. </w:t>
            </w:r>
          </w:p>
        </w:tc>
        <w:tc>
          <w:tcPr>
            <w:tcW w:w="13276" w:type="dxa"/>
            <w:gridSpan w:val="6"/>
          </w:tcPr>
          <w:p w:rsidR="00CB258F" w:rsidRPr="00241048" w:rsidRDefault="00CB258F" w:rsidP="00950CF6">
            <w:pPr>
              <w:spacing w:before="120" w:after="120" w:line="340" w:lineRule="exact"/>
              <w:rPr>
                <w:rFonts w:ascii="Times New Roman" w:hAnsi="Times New Roman"/>
                <w:b/>
                <w:sz w:val="28"/>
                <w:szCs w:val="28"/>
              </w:rPr>
            </w:pPr>
            <w:r w:rsidRPr="00241048">
              <w:rPr>
                <w:rFonts w:ascii="Times New Roman" w:hAnsi="Times New Roman"/>
                <w:b/>
                <w:sz w:val="28"/>
                <w:szCs w:val="28"/>
              </w:rPr>
              <w:t>Gia đình</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t>1</w:t>
            </w:r>
          </w:p>
        </w:tc>
        <w:tc>
          <w:tcPr>
            <w:tcW w:w="1951" w:type="dxa"/>
            <w:vAlign w:val="center"/>
          </w:tcPr>
          <w:p w:rsidR="00CB258F" w:rsidRPr="00241048" w:rsidRDefault="00CB258F" w:rsidP="00950CF6">
            <w:pPr>
              <w:shd w:val="clear" w:color="auto" w:fill="FFFFFF"/>
              <w:spacing w:before="120" w:after="120" w:line="340" w:lineRule="exact"/>
              <w:jc w:val="both"/>
              <w:rPr>
                <w:rFonts w:ascii="Times New Roman" w:hAnsi="Times New Roman"/>
                <w:sz w:val="28"/>
                <w:szCs w:val="28"/>
              </w:rPr>
            </w:pPr>
            <w:r w:rsidRPr="00241048">
              <w:rPr>
                <w:rFonts w:ascii="Times New Roman" w:hAnsi="Times New Roman"/>
                <w:bCs/>
                <w:sz w:val="28"/>
                <w:szCs w:val="28"/>
              </w:rPr>
              <w:t xml:space="preserve">Thủ tục </w:t>
            </w:r>
            <w:r w:rsidRPr="00241048">
              <w:rPr>
                <w:rFonts w:ascii="Times New Roman" w:hAnsi="Times New Roman"/>
                <w:bCs/>
                <w:sz w:val="28"/>
                <w:szCs w:val="28"/>
                <w:lang w:val="vi-VN"/>
              </w:rPr>
              <w:t xml:space="preserve">xét tặng danh hiệu </w:t>
            </w:r>
            <w:r w:rsidRPr="00241048">
              <w:rPr>
                <w:rFonts w:ascii="Times New Roman" w:hAnsi="Times New Roman"/>
                <w:bCs/>
                <w:sz w:val="28"/>
                <w:szCs w:val="28"/>
              </w:rPr>
              <w:t>G</w:t>
            </w:r>
            <w:r w:rsidRPr="00241048">
              <w:rPr>
                <w:rFonts w:ascii="Times New Roman" w:hAnsi="Times New Roman"/>
                <w:bCs/>
                <w:sz w:val="28"/>
                <w:szCs w:val="28"/>
                <w:lang w:val="vi-VN"/>
              </w:rPr>
              <w:t>ia đình văn hóa</w:t>
            </w:r>
            <w:r w:rsidRPr="00241048">
              <w:rPr>
                <w:rFonts w:ascii="Times New Roman" w:hAnsi="Times New Roman"/>
                <w:bCs/>
                <w:sz w:val="28"/>
                <w:szCs w:val="28"/>
              </w:rPr>
              <w:t xml:space="preserve"> hàng năm</w:t>
            </w:r>
          </w:p>
        </w:tc>
        <w:tc>
          <w:tcPr>
            <w:tcW w:w="2743" w:type="dxa"/>
            <w:vAlign w:val="center"/>
          </w:tcPr>
          <w:p w:rsidR="00CB258F" w:rsidRPr="00241048" w:rsidRDefault="00CB258F" w:rsidP="00950CF6">
            <w:pPr>
              <w:pStyle w:val="NormalWeb"/>
              <w:shd w:val="clear" w:color="auto" w:fill="FFFFFF"/>
              <w:spacing w:before="120" w:beforeAutospacing="0" w:after="120" w:afterAutospacing="0" w:line="340" w:lineRule="exact"/>
              <w:jc w:val="both"/>
              <w:rPr>
                <w:sz w:val="28"/>
                <w:szCs w:val="28"/>
              </w:rPr>
            </w:pPr>
            <w:r w:rsidRPr="00241048">
              <w:rPr>
                <w:sz w:val="28"/>
                <w:szCs w:val="28"/>
                <w:lang w:val="vi-VN"/>
              </w:rPr>
              <w:t>Trong thời hạn 05 ngày làm việc, kể từ ngày nhận được hồ sơ hợp lệ, Chủ tịch Ủy ban nhân dân cấp xã quyết định tặng danh hiệu Gia đình văn hóa hàng năm.</w:t>
            </w:r>
          </w:p>
        </w:tc>
        <w:tc>
          <w:tcPr>
            <w:tcW w:w="3118" w:type="dxa"/>
            <w:vAlign w:val="center"/>
          </w:tcPr>
          <w:p w:rsidR="00CB258F" w:rsidRPr="00C55272" w:rsidRDefault="00CB258F" w:rsidP="00950CF6">
            <w:pPr>
              <w:spacing w:before="120" w:after="120" w:line="340" w:lineRule="exact"/>
              <w:jc w:val="both"/>
              <w:rPr>
                <w:rFonts w:ascii="Times New Roman" w:hAnsi="Times New Roman"/>
                <w:b/>
                <w:bCs/>
                <w:sz w:val="28"/>
                <w:szCs w:val="28"/>
              </w:rPr>
            </w:pPr>
            <w:r w:rsidRPr="00C55272">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Chưa quy định</w:t>
            </w:r>
          </w:p>
        </w:tc>
        <w:tc>
          <w:tcPr>
            <w:tcW w:w="2410" w:type="dxa"/>
          </w:tcPr>
          <w:p w:rsidR="00CB258F" w:rsidRPr="00241048" w:rsidRDefault="00CB258F" w:rsidP="00950CF6">
            <w:pPr>
              <w:shd w:val="clear" w:color="auto" w:fill="FFFFFF"/>
              <w:spacing w:before="120" w:after="120" w:line="340" w:lineRule="exact"/>
              <w:jc w:val="both"/>
              <w:rPr>
                <w:rFonts w:ascii="Times New Roman" w:hAnsi="Times New Roman"/>
                <w:sz w:val="28"/>
                <w:szCs w:val="28"/>
                <w:lang w:val="nl-NL"/>
              </w:rPr>
            </w:pPr>
            <w:r w:rsidRPr="00241048">
              <w:rPr>
                <w:rFonts w:ascii="Times New Roman" w:hAnsi="Times New Roman"/>
                <w:bCs/>
                <w:sz w:val="28"/>
                <w:szCs w:val="28"/>
              </w:rPr>
              <w:t xml:space="preserve">- Nghị định số </w:t>
            </w:r>
            <w:r w:rsidRPr="00241048">
              <w:rPr>
                <w:rFonts w:ascii="Times New Roman" w:hAnsi="Times New Roman"/>
                <w:sz w:val="28"/>
                <w:szCs w:val="28"/>
                <w:lang w:val="nl-NL"/>
              </w:rPr>
              <w:t xml:space="preserve">122/2018/NĐ-CP ngày 17 tháng 9 năm 2018 của Chính phủ quy định về xét tặng danh hiệu “Gia đình văn hóa”; “Thôn văn hóa”, “Làng văn hóa”, “Ấp văn hóa”, “Bản văn hóa”, “Tổ dân phố văn hóa”. Có hiệu lực thi hành kể từ ngày 05 tháng 11 năm </w:t>
            </w:r>
            <w:r w:rsidRPr="00241048">
              <w:rPr>
                <w:rFonts w:ascii="Times New Roman" w:hAnsi="Times New Roman"/>
                <w:sz w:val="28"/>
                <w:szCs w:val="28"/>
                <w:lang w:val="nl-NL"/>
              </w:rPr>
              <w:lastRenderedPageBreak/>
              <w:t>2018.</w:t>
            </w:r>
          </w:p>
        </w:tc>
        <w:tc>
          <w:tcPr>
            <w:tcW w:w="1495" w:type="dxa"/>
            <w:vAlign w:val="center"/>
          </w:tcPr>
          <w:p w:rsidR="00CB258F" w:rsidRPr="00241048" w:rsidRDefault="00CB258F" w:rsidP="00950CF6">
            <w:pPr>
              <w:shd w:val="clear" w:color="auto" w:fill="FFFFFF"/>
              <w:spacing w:before="120" w:after="120" w:line="340" w:lineRule="exact"/>
              <w:jc w:val="center"/>
              <w:rPr>
                <w:rFonts w:ascii="Times New Roman" w:hAnsi="Times New Roman"/>
                <w:bCs/>
                <w:sz w:val="28"/>
                <w:szCs w:val="28"/>
              </w:rPr>
            </w:pPr>
            <w:r>
              <w:rPr>
                <w:rFonts w:ascii="Times New Roman" w:hAnsi="Times New Roman"/>
                <w:bCs/>
                <w:sz w:val="28"/>
                <w:szCs w:val="28"/>
              </w:rPr>
              <w:lastRenderedPageBreak/>
              <w:t>Một cửa</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lastRenderedPageBreak/>
              <w:t>2</w:t>
            </w:r>
          </w:p>
        </w:tc>
        <w:tc>
          <w:tcPr>
            <w:tcW w:w="1951"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bCs/>
                <w:sz w:val="28"/>
                <w:szCs w:val="28"/>
              </w:rPr>
              <w:t xml:space="preserve">Thủ tục xét </w:t>
            </w:r>
            <w:r w:rsidRPr="00241048">
              <w:rPr>
                <w:rFonts w:ascii="Times New Roman" w:hAnsi="Times New Roman"/>
                <w:bCs/>
                <w:sz w:val="28"/>
                <w:szCs w:val="28"/>
                <w:lang w:val="vi-VN"/>
              </w:rPr>
              <w:t xml:space="preserve">tặng </w:t>
            </w:r>
            <w:r w:rsidRPr="00241048">
              <w:rPr>
                <w:rFonts w:ascii="Times New Roman" w:hAnsi="Times New Roman"/>
                <w:bCs/>
                <w:sz w:val="28"/>
                <w:szCs w:val="28"/>
              </w:rPr>
              <w:t>G</w:t>
            </w:r>
            <w:r w:rsidRPr="00241048">
              <w:rPr>
                <w:rFonts w:ascii="Times New Roman" w:hAnsi="Times New Roman"/>
                <w:bCs/>
                <w:sz w:val="28"/>
                <w:szCs w:val="28"/>
                <w:lang w:val="vi-VN"/>
              </w:rPr>
              <w:t xml:space="preserve">iấy khen </w:t>
            </w:r>
            <w:r w:rsidRPr="00241048">
              <w:rPr>
                <w:rFonts w:ascii="Times New Roman" w:hAnsi="Times New Roman"/>
                <w:bCs/>
                <w:sz w:val="28"/>
                <w:szCs w:val="28"/>
              </w:rPr>
              <w:t>G</w:t>
            </w:r>
            <w:r w:rsidRPr="00241048">
              <w:rPr>
                <w:rFonts w:ascii="Times New Roman" w:hAnsi="Times New Roman"/>
                <w:bCs/>
                <w:sz w:val="28"/>
                <w:szCs w:val="28"/>
                <w:lang w:val="vi-VN"/>
              </w:rPr>
              <w:t>ia đình văn hóa</w:t>
            </w:r>
          </w:p>
        </w:tc>
        <w:tc>
          <w:tcPr>
            <w:tcW w:w="2743" w:type="dxa"/>
            <w:vAlign w:val="center"/>
          </w:tcPr>
          <w:p w:rsidR="00CB258F" w:rsidRPr="00241048" w:rsidRDefault="00CB258F" w:rsidP="00950CF6">
            <w:pPr>
              <w:pStyle w:val="NormalWeb"/>
              <w:shd w:val="clear" w:color="auto" w:fill="FFFFFF"/>
              <w:spacing w:before="120" w:beforeAutospacing="0" w:after="120" w:afterAutospacing="0" w:line="340" w:lineRule="exact"/>
              <w:jc w:val="both"/>
              <w:rPr>
                <w:sz w:val="28"/>
                <w:szCs w:val="28"/>
              </w:rPr>
            </w:pPr>
            <w:r w:rsidRPr="00241048">
              <w:rPr>
                <w:sz w:val="28"/>
                <w:szCs w:val="28"/>
                <w:lang w:val="vi-VN"/>
              </w:rPr>
              <w:t xml:space="preserve">Trong thời hạn 05 ngày làm việc, kể từ ngày nhận được hồ sơ </w:t>
            </w:r>
            <w:r w:rsidRPr="00241048">
              <w:rPr>
                <w:sz w:val="28"/>
                <w:szCs w:val="28"/>
                <w:lang w:val="vi-VN" w:eastAsia="en-GB"/>
              </w:rPr>
              <w:t>đề nghị tặng Giấy khen</w:t>
            </w:r>
            <w:r w:rsidRPr="00241048">
              <w:rPr>
                <w:sz w:val="28"/>
                <w:szCs w:val="28"/>
                <w:lang w:val="vi-VN"/>
              </w:rPr>
              <w:t xml:space="preserve">, Chủ tịch Ủy ban nhân dân cấp xã </w:t>
            </w:r>
            <w:r w:rsidRPr="00241048">
              <w:rPr>
                <w:sz w:val="28"/>
                <w:szCs w:val="28"/>
                <w:lang w:val="en-GB"/>
              </w:rPr>
              <w:t>ra Q</w:t>
            </w:r>
            <w:r w:rsidRPr="00241048">
              <w:rPr>
                <w:sz w:val="28"/>
                <w:szCs w:val="28"/>
                <w:lang w:val="vi-VN"/>
              </w:rPr>
              <w:t xml:space="preserve">uyết định tặng </w:t>
            </w:r>
            <w:r w:rsidRPr="00241048">
              <w:rPr>
                <w:sz w:val="28"/>
                <w:szCs w:val="28"/>
                <w:lang w:val="vi-VN" w:eastAsia="en-GB"/>
              </w:rPr>
              <w:t>Giấy khen Gia đình văn hóa</w:t>
            </w:r>
            <w:r w:rsidRPr="00241048">
              <w:rPr>
                <w:sz w:val="28"/>
                <w:szCs w:val="28"/>
                <w:lang w:val="vi-VN"/>
              </w:rPr>
              <w:t>.</w:t>
            </w:r>
          </w:p>
        </w:tc>
        <w:tc>
          <w:tcPr>
            <w:tcW w:w="3118" w:type="dxa"/>
            <w:vAlign w:val="center"/>
          </w:tcPr>
          <w:p w:rsidR="00CB258F" w:rsidRPr="00C55272" w:rsidRDefault="00CB258F" w:rsidP="00950CF6">
            <w:pPr>
              <w:spacing w:before="120" w:after="120" w:line="340" w:lineRule="exact"/>
              <w:jc w:val="both"/>
              <w:rPr>
                <w:rFonts w:ascii="Times New Roman" w:hAnsi="Times New Roman"/>
                <w:b/>
                <w:bCs/>
                <w:sz w:val="28"/>
                <w:szCs w:val="28"/>
              </w:rPr>
            </w:pPr>
            <w:r w:rsidRPr="00C55272">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Không quy định</w:t>
            </w:r>
          </w:p>
        </w:tc>
        <w:tc>
          <w:tcPr>
            <w:tcW w:w="2410" w:type="dxa"/>
          </w:tcPr>
          <w:p w:rsidR="00CB258F" w:rsidRPr="00241048" w:rsidRDefault="00CB258F" w:rsidP="00950CF6">
            <w:pPr>
              <w:shd w:val="clear" w:color="auto" w:fill="FFFFFF"/>
              <w:spacing w:before="120" w:after="120" w:line="340" w:lineRule="exact"/>
              <w:jc w:val="both"/>
              <w:rPr>
                <w:rFonts w:ascii="Times New Roman" w:hAnsi="Times New Roman"/>
                <w:sz w:val="28"/>
                <w:szCs w:val="28"/>
                <w:lang w:val="nl-NL"/>
              </w:rPr>
            </w:pPr>
            <w:r w:rsidRPr="00241048">
              <w:rPr>
                <w:rFonts w:ascii="Times New Roman" w:hAnsi="Times New Roman"/>
                <w:bCs/>
                <w:sz w:val="28"/>
                <w:szCs w:val="28"/>
              </w:rPr>
              <w:t xml:space="preserve">- Nghị định số </w:t>
            </w:r>
            <w:r w:rsidRPr="00241048">
              <w:rPr>
                <w:rFonts w:ascii="Times New Roman" w:hAnsi="Times New Roman"/>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từ ngày 05 tháng 11 năm 2018.</w:t>
            </w:r>
          </w:p>
        </w:tc>
        <w:tc>
          <w:tcPr>
            <w:tcW w:w="1495" w:type="dxa"/>
            <w:vAlign w:val="center"/>
          </w:tcPr>
          <w:p w:rsidR="00CB258F" w:rsidRPr="00241048" w:rsidRDefault="00CB258F" w:rsidP="00950CF6">
            <w:pPr>
              <w:shd w:val="clear" w:color="auto" w:fill="FFFFFF"/>
              <w:spacing w:before="120" w:after="120" w:line="340" w:lineRule="exact"/>
              <w:jc w:val="center"/>
              <w:rPr>
                <w:rFonts w:ascii="Times New Roman" w:hAnsi="Times New Roman"/>
                <w:bCs/>
                <w:sz w:val="28"/>
                <w:szCs w:val="28"/>
              </w:rPr>
            </w:pPr>
            <w:r>
              <w:rPr>
                <w:rFonts w:ascii="Times New Roman" w:hAnsi="Times New Roman"/>
                <w:bCs/>
                <w:sz w:val="28"/>
                <w:szCs w:val="28"/>
              </w:rPr>
              <w:t>Một cửa</w:t>
            </w:r>
          </w:p>
        </w:tc>
      </w:tr>
      <w:tr w:rsidR="00CB258F" w:rsidRPr="00241048" w:rsidTr="00950CF6">
        <w:tc>
          <w:tcPr>
            <w:tcW w:w="835" w:type="dxa"/>
            <w:vAlign w:val="center"/>
          </w:tcPr>
          <w:p w:rsidR="00CB258F" w:rsidRPr="00241048" w:rsidRDefault="00CB258F" w:rsidP="00950CF6">
            <w:pPr>
              <w:tabs>
                <w:tab w:val="left" w:pos="1080"/>
              </w:tabs>
              <w:spacing w:before="120" w:after="120" w:line="340" w:lineRule="exact"/>
              <w:jc w:val="center"/>
              <w:rPr>
                <w:rFonts w:ascii="Times New Roman" w:eastAsia="SimSun" w:hAnsi="Times New Roman"/>
                <w:b/>
                <w:sz w:val="28"/>
                <w:szCs w:val="28"/>
              </w:rPr>
            </w:pPr>
            <w:r w:rsidRPr="00241048">
              <w:rPr>
                <w:rFonts w:ascii="Times New Roman" w:hAnsi="Times New Roman"/>
                <w:b/>
                <w:sz w:val="28"/>
                <w:szCs w:val="28"/>
              </w:rPr>
              <w:t>1.2</w:t>
            </w:r>
            <w:r>
              <w:rPr>
                <w:rFonts w:ascii="Times New Roman" w:hAnsi="Times New Roman"/>
                <w:b/>
                <w:sz w:val="28"/>
                <w:szCs w:val="28"/>
              </w:rPr>
              <w:t>.</w:t>
            </w:r>
          </w:p>
        </w:tc>
        <w:tc>
          <w:tcPr>
            <w:tcW w:w="13276" w:type="dxa"/>
            <w:gridSpan w:val="6"/>
            <w:vAlign w:val="center"/>
          </w:tcPr>
          <w:p w:rsidR="00CB258F" w:rsidRPr="00241048" w:rsidRDefault="00CB258F" w:rsidP="00950CF6">
            <w:pPr>
              <w:tabs>
                <w:tab w:val="left" w:pos="1080"/>
              </w:tabs>
              <w:spacing w:before="120" w:after="120" w:line="340" w:lineRule="exact"/>
              <w:jc w:val="both"/>
              <w:rPr>
                <w:rFonts w:ascii="Times New Roman" w:hAnsi="Times New Roman"/>
                <w:b/>
                <w:sz w:val="28"/>
                <w:szCs w:val="28"/>
              </w:rPr>
            </w:pPr>
            <w:r w:rsidRPr="00241048">
              <w:rPr>
                <w:rFonts w:ascii="Times New Roman" w:hAnsi="Times New Roman"/>
                <w:b/>
                <w:sz w:val="28"/>
                <w:szCs w:val="28"/>
              </w:rPr>
              <w:t>Văn hóa cơ sở</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t>3</w:t>
            </w:r>
          </w:p>
        </w:tc>
        <w:tc>
          <w:tcPr>
            <w:tcW w:w="1951"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 xml:space="preserve">Thủ tục thông báo tổ chức lễ </w:t>
            </w:r>
            <w:r w:rsidRPr="00241048">
              <w:rPr>
                <w:rFonts w:ascii="Times New Roman" w:hAnsi="Times New Roman"/>
                <w:sz w:val="28"/>
                <w:szCs w:val="28"/>
              </w:rPr>
              <w:lastRenderedPageBreak/>
              <w:t>hội</w:t>
            </w:r>
          </w:p>
        </w:tc>
        <w:tc>
          <w:tcPr>
            <w:tcW w:w="2743" w:type="dxa"/>
            <w:vAlign w:val="center"/>
          </w:tcPr>
          <w:p w:rsidR="00CB258F" w:rsidRPr="00241048" w:rsidRDefault="00CB258F" w:rsidP="00950CF6">
            <w:pPr>
              <w:pStyle w:val="NoSpacing"/>
              <w:spacing w:before="120" w:after="120" w:line="340" w:lineRule="exact"/>
              <w:jc w:val="both"/>
              <w:rPr>
                <w:sz w:val="28"/>
                <w:szCs w:val="28"/>
              </w:rPr>
            </w:pPr>
            <w:r w:rsidRPr="00241048">
              <w:rPr>
                <w:sz w:val="28"/>
                <w:szCs w:val="28"/>
              </w:rPr>
              <w:lastRenderedPageBreak/>
              <w:t xml:space="preserve">Trong thời hạn 15 ngày, kể từ ngày Ủy </w:t>
            </w:r>
            <w:r w:rsidRPr="00241048">
              <w:rPr>
                <w:sz w:val="28"/>
                <w:szCs w:val="28"/>
              </w:rPr>
              <w:lastRenderedPageBreak/>
              <w:t>ban nhân dân cấp xã nhận được thông báo, nếu không có ý kiến trả lời thì đơn vị gửi thông báo được tổ chức lễ hội theo nội dung thông báo.</w:t>
            </w:r>
          </w:p>
        </w:tc>
        <w:tc>
          <w:tcPr>
            <w:tcW w:w="3118" w:type="dxa"/>
            <w:vAlign w:val="center"/>
          </w:tcPr>
          <w:p w:rsidR="00CB258F" w:rsidRPr="00E90F92" w:rsidRDefault="00CB258F" w:rsidP="00950CF6">
            <w:pPr>
              <w:spacing w:before="120" w:after="120" w:line="340" w:lineRule="exact"/>
              <w:jc w:val="both"/>
              <w:rPr>
                <w:rFonts w:ascii="Times New Roman" w:hAnsi="Times New Roman"/>
                <w:b/>
                <w:bCs/>
                <w:sz w:val="28"/>
                <w:szCs w:val="28"/>
              </w:rPr>
            </w:pPr>
            <w:r w:rsidRPr="00E90F92">
              <w:rPr>
                <w:rFonts w:ascii="Times New Roman" w:hAnsi="Times New Roman"/>
                <w:b/>
                <w:bCs/>
                <w:sz w:val="28"/>
                <w:szCs w:val="28"/>
              </w:rPr>
              <w:lastRenderedPageBreak/>
              <w:t xml:space="preserve">- Nơi tiếp nhận hồ sơ và trả kết quả giải quyết </w:t>
            </w:r>
            <w:r w:rsidRPr="00E90F92">
              <w:rPr>
                <w:rFonts w:ascii="Times New Roman" w:hAnsi="Times New Roman"/>
                <w:b/>
                <w:bCs/>
                <w:sz w:val="28"/>
                <w:szCs w:val="28"/>
              </w:rPr>
              <w:lastRenderedPageBreak/>
              <w:t>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lastRenderedPageBreak/>
              <w:t>Không quy định</w:t>
            </w:r>
          </w:p>
        </w:tc>
        <w:tc>
          <w:tcPr>
            <w:tcW w:w="2410" w:type="dxa"/>
            <w:vAlign w:val="center"/>
          </w:tcPr>
          <w:p w:rsidR="00CB258F" w:rsidRPr="00E90F92"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rPr>
              <w:t xml:space="preserve">- Nghị định số 110/2018/NĐ-CP </w:t>
            </w:r>
            <w:r w:rsidRPr="00241048">
              <w:rPr>
                <w:rFonts w:ascii="Times New Roman" w:eastAsia="SimSun" w:hAnsi="Times New Roman"/>
                <w:sz w:val="28"/>
                <w:szCs w:val="28"/>
                <w:lang w:val="vi-VN"/>
              </w:rPr>
              <w:lastRenderedPageBreak/>
              <w:t>ngày 29</w:t>
            </w:r>
            <w:r w:rsidRPr="00241048">
              <w:rPr>
                <w:rFonts w:ascii="Times New Roman" w:eastAsia="SimSun" w:hAnsi="Times New Roman"/>
                <w:sz w:val="28"/>
                <w:szCs w:val="28"/>
              </w:rPr>
              <w:t xml:space="preserve"> tháng </w:t>
            </w:r>
            <w:r w:rsidRPr="00241048">
              <w:rPr>
                <w:rFonts w:ascii="Times New Roman" w:eastAsia="SimSun" w:hAnsi="Times New Roman"/>
                <w:sz w:val="28"/>
                <w:szCs w:val="28"/>
                <w:lang w:val="vi-VN"/>
              </w:rPr>
              <w:t>8</w:t>
            </w:r>
            <w:r w:rsidRPr="00241048">
              <w:rPr>
                <w:rFonts w:ascii="Times New Roman" w:eastAsia="SimSun" w:hAnsi="Times New Roman"/>
                <w:sz w:val="28"/>
                <w:szCs w:val="28"/>
              </w:rPr>
              <w:t xml:space="preserve"> năm </w:t>
            </w:r>
            <w:r w:rsidRPr="00241048">
              <w:rPr>
                <w:rFonts w:ascii="Times New Roman" w:eastAsia="SimSun" w:hAnsi="Times New Roman"/>
                <w:sz w:val="28"/>
                <w:szCs w:val="28"/>
                <w:lang w:val="vi-VN"/>
              </w:rPr>
              <w:t xml:space="preserve">2018 </w:t>
            </w:r>
            <w:r w:rsidRPr="00241048">
              <w:rPr>
                <w:rFonts w:ascii="Times New Roman" w:eastAsia="SimSun" w:hAnsi="Times New Roman"/>
                <w:sz w:val="28"/>
                <w:szCs w:val="28"/>
              </w:rPr>
              <w:t>của Chính phủ quy định về quản lý và tổ chức lễ hội. Có hiệu lực từ ngày 15 tháng 10 năm 2018.</w:t>
            </w:r>
          </w:p>
        </w:tc>
        <w:tc>
          <w:tcPr>
            <w:tcW w:w="1495" w:type="dxa"/>
            <w:vAlign w:val="center"/>
          </w:tcPr>
          <w:p w:rsidR="00CB258F" w:rsidRPr="00241048" w:rsidRDefault="00CB258F" w:rsidP="00950CF6">
            <w:pPr>
              <w:tabs>
                <w:tab w:val="left" w:pos="1080"/>
              </w:tabs>
              <w:spacing w:before="120" w:after="120" w:line="340" w:lineRule="exact"/>
              <w:jc w:val="center"/>
              <w:rPr>
                <w:rFonts w:ascii="Times New Roman" w:eastAsia="SimSun" w:hAnsi="Times New Roman"/>
                <w:sz w:val="28"/>
                <w:szCs w:val="28"/>
              </w:rPr>
            </w:pPr>
            <w:r>
              <w:rPr>
                <w:rFonts w:ascii="Times New Roman" w:eastAsia="SimSun" w:hAnsi="Times New Roman"/>
                <w:sz w:val="28"/>
                <w:szCs w:val="28"/>
              </w:rPr>
              <w:lastRenderedPageBreak/>
              <w:t>Một cửa</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eastAsia="SimSun" w:hAnsi="Times New Roman"/>
                <w:b/>
                <w:sz w:val="28"/>
                <w:szCs w:val="28"/>
                <w:lang w:val="nb-NO"/>
              </w:rPr>
            </w:pPr>
            <w:r w:rsidRPr="00241048">
              <w:rPr>
                <w:rFonts w:ascii="Times New Roman" w:hAnsi="Times New Roman"/>
                <w:b/>
                <w:sz w:val="28"/>
                <w:szCs w:val="28"/>
              </w:rPr>
              <w:lastRenderedPageBreak/>
              <w:t>1.3</w:t>
            </w:r>
          </w:p>
        </w:tc>
        <w:tc>
          <w:tcPr>
            <w:tcW w:w="13276" w:type="dxa"/>
            <w:gridSpan w:val="6"/>
            <w:vAlign w:val="center"/>
          </w:tcPr>
          <w:p w:rsidR="00CB258F" w:rsidRPr="00241048" w:rsidRDefault="00CB258F" w:rsidP="00950CF6">
            <w:pPr>
              <w:spacing w:before="120" w:after="120" w:line="340" w:lineRule="exact"/>
              <w:jc w:val="both"/>
              <w:rPr>
                <w:rFonts w:ascii="Times New Roman" w:hAnsi="Times New Roman"/>
                <w:b/>
                <w:sz w:val="28"/>
                <w:szCs w:val="28"/>
              </w:rPr>
            </w:pPr>
            <w:r w:rsidRPr="00241048">
              <w:rPr>
                <w:rFonts w:ascii="Times New Roman" w:hAnsi="Times New Roman"/>
                <w:b/>
                <w:sz w:val="28"/>
                <w:szCs w:val="28"/>
              </w:rPr>
              <w:t>Thư viện</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t>4</w:t>
            </w:r>
          </w:p>
        </w:tc>
        <w:tc>
          <w:tcPr>
            <w:tcW w:w="1951" w:type="dxa"/>
            <w:vAlign w:val="center"/>
          </w:tcPr>
          <w:p w:rsidR="00CB258F" w:rsidRPr="00241048" w:rsidRDefault="00CB258F" w:rsidP="00950CF6">
            <w:pPr>
              <w:spacing w:before="120" w:after="120" w:line="340" w:lineRule="exact"/>
              <w:jc w:val="both"/>
              <w:rPr>
                <w:rFonts w:ascii="Times New Roman" w:hAnsi="Times New Roman"/>
                <w:bCs/>
                <w:sz w:val="28"/>
                <w:szCs w:val="28"/>
              </w:rPr>
            </w:pPr>
            <w:r w:rsidRPr="00241048">
              <w:rPr>
                <w:rFonts w:ascii="Times New Roman" w:hAnsi="Times New Roman"/>
                <w:bCs/>
                <w:sz w:val="28"/>
                <w:szCs w:val="28"/>
                <w:lang w:val="vi-VN"/>
              </w:rPr>
              <w:t>Thủ tục thông báo thành lập thư viện đối với thư viện cộng đồng</w:t>
            </w:r>
          </w:p>
        </w:tc>
        <w:tc>
          <w:tcPr>
            <w:tcW w:w="2743"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lang w:val="vi-VN"/>
              </w:rPr>
              <w:t>15 ngày, kể từ ngày nhận đủ hồ sơ thông báo hợp lệ.</w:t>
            </w:r>
          </w:p>
        </w:tc>
        <w:tc>
          <w:tcPr>
            <w:tcW w:w="3118" w:type="dxa"/>
            <w:vAlign w:val="center"/>
          </w:tcPr>
          <w:p w:rsidR="00CB258F" w:rsidRPr="00E90F92" w:rsidRDefault="00CB258F" w:rsidP="00950CF6">
            <w:pPr>
              <w:spacing w:before="120" w:after="120" w:line="340" w:lineRule="exact"/>
              <w:jc w:val="both"/>
              <w:rPr>
                <w:rFonts w:ascii="Times New Roman" w:hAnsi="Times New Roman"/>
                <w:b/>
                <w:bCs/>
                <w:sz w:val="28"/>
                <w:szCs w:val="28"/>
              </w:rPr>
            </w:pPr>
            <w:r w:rsidRPr="00E90F92">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Không quy định</w:t>
            </w:r>
          </w:p>
        </w:tc>
        <w:tc>
          <w:tcPr>
            <w:tcW w:w="2410" w:type="dxa"/>
          </w:tcPr>
          <w:p w:rsidR="00CB258F" w:rsidRPr="00E90F92" w:rsidRDefault="00CB258F" w:rsidP="00950CF6">
            <w:pPr>
              <w:tabs>
                <w:tab w:val="left" w:pos="1080"/>
              </w:tabs>
              <w:spacing w:before="120" w:after="120" w:line="240" w:lineRule="auto"/>
              <w:jc w:val="both"/>
              <w:rPr>
                <w:rFonts w:ascii="Times New Roman" w:eastAsia="SimSun" w:hAnsi="Times New Roman"/>
                <w:sz w:val="28"/>
                <w:szCs w:val="28"/>
                <w:lang w:val="nl-NL"/>
              </w:rPr>
            </w:pPr>
            <w:r w:rsidRPr="00E90F92">
              <w:rPr>
                <w:rFonts w:ascii="Times New Roman" w:eastAsia="SimSun" w:hAnsi="Times New Roman"/>
                <w:sz w:val="28"/>
                <w:szCs w:val="28"/>
                <w:lang w:val="nl-NL"/>
              </w:rPr>
              <w:t>- Luật Thư viện số 46/2019/QH14</w:t>
            </w:r>
            <w:r>
              <w:rPr>
                <w:rFonts w:ascii="Times New Roman" w:eastAsia="SimSun" w:hAnsi="Times New Roman"/>
                <w:sz w:val="28"/>
                <w:szCs w:val="28"/>
                <w:lang w:val="nl-NL"/>
              </w:rPr>
              <w:t xml:space="preserve"> </w:t>
            </w:r>
            <w:r w:rsidRPr="00E90F92">
              <w:rPr>
                <w:rFonts w:ascii="Times New Roman" w:eastAsia="SimSun" w:hAnsi="Times New Roman"/>
                <w:sz w:val="28"/>
                <w:szCs w:val="28"/>
                <w:lang w:val="nl-NL"/>
              </w:rPr>
              <w:t xml:space="preserve">ngày 21 tháng 11 năm 2019.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t xml:space="preserve">- Nghị định 93/2020/NĐ-CP ngày 18 tháng 8 năm 2020 quy định chi tiết một số điều của Luật Thư viện.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t>- Thông tư số 01/2020/TT-</w:t>
            </w:r>
            <w:r w:rsidRPr="00241048">
              <w:rPr>
                <w:rFonts w:ascii="Times New Roman" w:eastAsia="SimSun" w:hAnsi="Times New Roman"/>
                <w:sz w:val="28"/>
                <w:szCs w:val="28"/>
                <w:lang w:val="nl-NL"/>
              </w:rPr>
              <w:lastRenderedPageBreak/>
              <w:t xml:space="preserve">BVHTTDL ngày 22 tháng 5 năm 2020 của Bộ trưởng Bộ Văn hóa, Thể thao và Du lịch quy định các mẫu văn bản thông báo thành lập, sáp nhập, hợp nhất, chia, tách,giải thể, chấm dứt hoạt động thư viện. </w:t>
            </w:r>
          </w:p>
        </w:tc>
        <w:tc>
          <w:tcPr>
            <w:tcW w:w="1495" w:type="dxa"/>
            <w:vAlign w:val="center"/>
          </w:tcPr>
          <w:p w:rsidR="00CB258F" w:rsidRPr="00241048" w:rsidRDefault="00CB258F" w:rsidP="00950CF6">
            <w:pPr>
              <w:tabs>
                <w:tab w:val="left" w:pos="1080"/>
              </w:tabs>
              <w:spacing w:before="120" w:after="120" w:line="340" w:lineRule="exact"/>
              <w:jc w:val="center"/>
              <w:rPr>
                <w:rFonts w:ascii="Times New Roman" w:eastAsia="SimSun" w:hAnsi="Times New Roman"/>
                <w:sz w:val="28"/>
                <w:szCs w:val="28"/>
                <w:lang w:val="nl-NL"/>
              </w:rPr>
            </w:pPr>
            <w:r>
              <w:rPr>
                <w:rFonts w:ascii="Times New Roman" w:eastAsia="SimSun" w:hAnsi="Times New Roman"/>
                <w:sz w:val="28"/>
                <w:szCs w:val="28"/>
                <w:lang w:val="nl-NL"/>
              </w:rPr>
              <w:lastRenderedPageBreak/>
              <w:t>Một cửa</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lastRenderedPageBreak/>
              <w:t>5</w:t>
            </w:r>
          </w:p>
        </w:tc>
        <w:tc>
          <w:tcPr>
            <w:tcW w:w="1951" w:type="dxa"/>
            <w:vAlign w:val="center"/>
          </w:tcPr>
          <w:p w:rsidR="00CB258F" w:rsidRPr="00241048" w:rsidRDefault="00CB258F" w:rsidP="00950CF6">
            <w:pPr>
              <w:shd w:val="clear" w:color="auto" w:fill="FFFFFF"/>
              <w:spacing w:before="120" w:after="120" w:line="340" w:lineRule="exact"/>
              <w:jc w:val="both"/>
              <w:outlineLvl w:val="1"/>
              <w:rPr>
                <w:rFonts w:ascii="Times New Roman" w:hAnsi="Times New Roman"/>
                <w:sz w:val="28"/>
                <w:szCs w:val="28"/>
                <w:lang w:eastAsia="zh-CN"/>
              </w:rPr>
            </w:pPr>
            <w:r w:rsidRPr="00241048">
              <w:rPr>
                <w:rFonts w:ascii="Times New Roman" w:hAnsi="Times New Roman"/>
                <w:sz w:val="28"/>
                <w:szCs w:val="28"/>
                <w:lang w:eastAsia="zh-CN"/>
              </w:rPr>
              <w:t>Thủ tục thông báo sáp nhập, hợp nhất, chia, tách thư viện đối với thư viện cộng đồng</w:t>
            </w:r>
          </w:p>
        </w:tc>
        <w:tc>
          <w:tcPr>
            <w:tcW w:w="2743"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lang w:val="vi-VN"/>
              </w:rPr>
              <w:t>15 ngày, kể từ ngày nhận đủ hồ sơ thông báo hợp lệ.</w:t>
            </w:r>
          </w:p>
        </w:tc>
        <w:tc>
          <w:tcPr>
            <w:tcW w:w="3118" w:type="dxa"/>
            <w:vAlign w:val="center"/>
          </w:tcPr>
          <w:p w:rsidR="00CB258F" w:rsidRPr="0033572B" w:rsidRDefault="00CB258F" w:rsidP="00950CF6">
            <w:pPr>
              <w:spacing w:before="120" w:after="120" w:line="340" w:lineRule="exact"/>
              <w:jc w:val="both"/>
              <w:rPr>
                <w:rFonts w:ascii="Times New Roman" w:hAnsi="Times New Roman"/>
                <w:b/>
                <w:bCs/>
                <w:sz w:val="28"/>
                <w:szCs w:val="28"/>
              </w:rPr>
            </w:pPr>
            <w:r w:rsidRPr="0033572B">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Không quy định</w:t>
            </w:r>
          </w:p>
        </w:tc>
        <w:tc>
          <w:tcPr>
            <w:tcW w:w="2410" w:type="dxa"/>
          </w:tcPr>
          <w:p w:rsidR="00CB258F" w:rsidRPr="0033572B" w:rsidRDefault="00CB258F" w:rsidP="00950CF6">
            <w:pPr>
              <w:tabs>
                <w:tab w:val="left" w:pos="1080"/>
              </w:tabs>
              <w:spacing w:before="120" w:after="120" w:line="240" w:lineRule="auto"/>
              <w:jc w:val="both"/>
              <w:rPr>
                <w:rFonts w:ascii="Times New Roman" w:eastAsia="SimSun" w:hAnsi="Times New Roman"/>
                <w:sz w:val="28"/>
                <w:szCs w:val="28"/>
                <w:lang w:val="nl-NL"/>
              </w:rPr>
            </w:pPr>
            <w:r w:rsidRPr="0033572B">
              <w:rPr>
                <w:rFonts w:ascii="Times New Roman" w:eastAsia="SimSun" w:hAnsi="Times New Roman"/>
                <w:sz w:val="28"/>
                <w:szCs w:val="28"/>
                <w:lang w:val="nl-NL"/>
              </w:rPr>
              <w:t xml:space="preserve">- Luật Thư viện số 46/2019/QH14 ngày 21 tháng 11 năm 2019.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t xml:space="preserve">- Nghị định 93/2020/NĐ-CP ngày 18 tháng 8 năm 2020 quy định chi tiết một số điều của Luật Thư viện.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lastRenderedPageBreak/>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p>
        </w:tc>
        <w:tc>
          <w:tcPr>
            <w:tcW w:w="1495" w:type="dxa"/>
            <w:vAlign w:val="center"/>
          </w:tcPr>
          <w:p w:rsidR="00CB258F" w:rsidRPr="00241048" w:rsidRDefault="00CB258F" w:rsidP="00950CF6">
            <w:pPr>
              <w:tabs>
                <w:tab w:val="left" w:pos="1080"/>
              </w:tabs>
              <w:spacing w:before="120" w:after="120" w:line="340" w:lineRule="exact"/>
              <w:jc w:val="center"/>
              <w:rPr>
                <w:rFonts w:ascii="Times New Roman" w:eastAsia="SimSun" w:hAnsi="Times New Roman"/>
                <w:sz w:val="28"/>
                <w:szCs w:val="28"/>
                <w:lang w:val="nl-NL"/>
              </w:rPr>
            </w:pPr>
            <w:r>
              <w:rPr>
                <w:rFonts w:ascii="Times New Roman" w:eastAsia="SimSun" w:hAnsi="Times New Roman"/>
                <w:sz w:val="28"/>
                <w:szCs w:val="28"/>
                <w:lang w:val="nl-NL"/>
              </w:rPr>
              <w:lastRenderedPageBreak/>
              <w:t>Một cửa</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lastRenderedPageBreak/>
              <w:t>6</w:t>
            </w:r>
          </w:p>
        </w:tc>
        <w:tc>
          <w:tcPr>
            <w:tcW w:w="1951" w:type="dxa"/>
            <w:vAlign w:val="center"/>
          </w:tcPr>
          <w:p w:rsidR="00CB258F" w:rsidRPr="00241048" w:rsidRDefault="00CB258F" w:rsidP="00950CF6">
            <w:pPr>
              <w:shd w:val="clear" w:color="auto" w:fill="FFFFFF"/>
              <w:tabs>
                <w:tab w:val="center" w:pos="6237"/>
              </w:tabs>
              <w:spacing w:before="120" w:after="120" w:line="340" w:lineRule="exact"/>
              <w:jc w:val="both"/>
              <w:outlineLvl w:val="1"/>
              <w:rPr>
                <w:rFonts w:ascii="Times New Roman" w:hAnsi="Times New Roman"/>
                <w:sz w:val="28"/>
                <w:szCs w:val="28"/>
                <w:lang w:eastAsia="zh-CN"/>
              </w:rPr>
            </w:pPr>
            <w:r w:rsidRPr="00241048">
              <w:rPr>
                <w:rFonts w:ascii="Times New Roman" w:hAnsi="Times New Roman"/>
                <w:sz w:val="28"/>
                <w:szCs w:val="28"/>
                <w:lang w:eastAsia="zh-CN"/>
              </w:rPr>
              <w:t>Thủ tục thông báo chấm dứt hoạt động thư viện cộng đồng</w:t>
            </w:r>
          </w:p>
        </w:tc>
        <w:tc>
          <w:tcPr>
            <w:tcW w:w="2743"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lang w:val="vi-VN"/>
              </w:rPr>
              <w:t>15 ngày, kể từ ngày nhận đủ hồ sơ thông báo hợp lệ.</w:t>
            </w:r>
          </w:p>
        </w:tc>
        <w:tc>
          <w:tcPr>
            <w:tcW w:w="3118" w:type="dxa"/>
            <w:vAlign w:val="center"/>
          </w:tcPr>
          <w:p w:rsidR="00CB258F" w:rsidRPr="0033572B" w:rsidRDefault="00CB258F" w:rsidP="00950CF6">
            <w:pPr>
              <w:spacing w:before="120" w:after="120" w:line="340" w:lineRule="exact"/>
              <w:jc w:val="both"/>
              <w:rPr>
                <w:rFonts w:ascii="Times New Roman" w:hAnsi="Times New Roman"/>
                <w:b/>
                <w:bCs/>
                <w:sz w:val="28"/>
                <w:szCs w:val="28"/>
              </w:rPr>
            </w:pPr>
            <w:r w:rsidRPr="0033572B">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Bộ phận tiếp nhận và trả kết quả giải quyết TTHC 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Không quy định</w:t>
            </w:r>
          </w:p>
        </w:tc>
        <w:tc>
          <w:tcPr>
            <w:tcW w:w="2410" w:type="dxa"/>
          </w:tcPr>
          <w:p w:rsidR="00CB258F" w:rsidRPr="0033572B" w:rsidRDefault="00CB258F" w:rsidP="00950CF6">
            <w:pPr>
              <w:tabs>
                <w:tab w:val="left" w:pos="1080"/>
              </w:tabs>
              <w:spacing w:before="120" w:after="120" w:line="240" w:lineRule="auto"/>
              <w:jc w:val="both"/>
              <w:rPr>
                <w:rFonts w:ascii="Times New Roman" w:eastAsia="SimSun" w:hAnsi="Times New Roman"/>
                <w:sz w:val="28"/>
                <w:szCs w:val="28"/>
                <w:lang w:val="nl-NL"/>
              </w:rPr>
            </w:pPr>
            <w:r w:rsidRPr="0033572B">
              <w:rPr>
                <w:rFonts w:ascii="Times New Roman" w:eastAsia="SimSun" w:hAnsi="Times New Roman"/>
                <w:sz w:val="28"/>
                <w:szCs w:val="28"/>
                <w:lang w:val="nl-NL"/>
              </w:rPr>
              <w:t xml:space="preserve">- Luật Thư viện số 46/2019/QH14 ngày 21 tháng 11 năm 2019.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t xml:space="preserve">- Nghị định 93/2020/NĐ-CP ngày 18 tháng 8 năm 2020 quy định chi tiết một số điều </w:t>
            </w:r>
            <w:r w:rsidRPr="00241048">
              <w:rPr>
                <w:rFonts w:ascii="Times New Roman" w:eastAsia="SimSun" w:hAnsi="Times New Roman"/>
                <w:sz w:val="28"/>
                <w:szCs w:val="28"/>
                <w:lang w:val="nl-NL"/>
              </w:rPr>
              <w:lastRenderedPageBreak/>
              <w:t xml:space="preserve">của Luật Thư viện. </w:t>
            </w:r>
          </w:p>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sidRPr="00241048">
              <w:rPr>
                <w:rFonts w:ascii="Times New Roman" w:eastAsia="SimSun" w:hAnsi="Times New Roman"/>
                <w:sz w:val="28"/>
                <w:szCs w:val="28"/>
                <w:lang w:val="nl-NL"/>
              </w:rPr>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p>
        </w:tc>
        <w:tc>
          <w:tcPr>
            <w:tcW w:w="1495" w:type="dxa"/>
            <w:vAlign w:val="center"/>
          </w:tcPr>
          <w:p w:rsidR="00CB258F" w:rsidRPr="00241048" w:rsidRDefault="00CB258F" w:rsidP="00950CF6">
            <w:pPr>
              <w:tabs>
                <w:tab w:val="left" w:pos="1080"/>
              </w:tabs>
              <w:spacing w:before="120" w:after="120" w:line="340" w:lineRule="exact"/>
              <w:jc w:val="both"/>
              <w:rPr>
                <w:rFonts w:ascii="Times New Roman" w:eastAsia="SimSun" w:hAnsi="Times New Roman"/>
                <w:sz w:val="28"/>
                <w:szCs w:val="28"/>
                <w:lang w:val="nl-NL"/>
              </w:rPr>
            </w:pPr>
            <w:r>
              <w:rPr>
                <w:rFonts w:ascii="Times New Roman" w:eastAsia="SimSun" w:hAnsi="Times New Roman"/>
                <w:sz w:val="28"/>
                <w:szCs w:val="28"/>
                <w:lang w:val="nl-NL"/>
              </w:rPr>
              <w:lastRenderedPageBreak/>
              <w:t>Một cửa</w:t>
            </w:r>
          </w:p>
        </w:tc>
      </w:tr>
      <w:tr w:rsidR="00CB258F" w:rsidRPr="00241048" w:rsidTr="00950CF6">
        <w:tc>
          <w:tcPr>
            <w:tcW w:w="835" w:type="dxa"/>
          </w:tcPr>
          <w:p w:rsidR="00CB258F" w:rsidRPr="00241048" w:rsidRDefault="00CB258F" w:rsidP="00950CF6">
            <w:pPr>
              <w:spacing w:before="120" w:after="120" w:line="340" w:lineRule="exact"/>
              <w:jc w:val="center"/>
              <w:rPr>
                <w:rFonts w:ascii="Times New Roman" w:hAnsi="Times New Roman"/>
                <w:b/>
                <w:sz w:val="28"/>
                <w:szCs w:val="28"/>
              </w:rPr>
            </w:pPr>
            <w:r w:rsidRPr="00241048">
              <w:rPr>
                <w:rFonts w:ascii="Times New Roman" w:hAnsi="Times New Roman"/>
                <w:b/>
                <w:sz w:val="28"/>
                <w:szCs w:val="28"/>
              </w:rPr>
              <w:lastRenderedPageBreak/>
              <w:t>II.</w:t>
            </w:r>
          </w:p>
        </w:tc>
        <w:tc>
          <w:tcPr>
            <w:tcW w:w="13276" w:type="dxa"/>
            <w:gridSpan w:val="6"/>
          </w:tcPr>
          <w:p w:rsidR="00CB258F" w:rsidRPr="00241048" w:rsidRDefault="00CB258F" w:rsidP="00950CF6">
            <w:pPr>
              <w:spacing w:before="120" w:after="120" w:line="340" w:lineRule="exact"/>
              <w:jc w:val="both"/>
              <w:rPr>
                <w:rFonts w:ascii="Times New Roman" w:hAnsi="Times New Roman"/>
                <w:b/>
                <w:sz w:val="28"/>
                <w:szCs w:val="28"/>
              </w:rPr>
            </w:pPr>
            <w:r w:rsidRPr="00241048">
              <w:rPr>
                <w:rFonts w:ascii="Times New Roman" w:hAnsi="Times New Roman"/>
                <w:b/>
                <w:sz w:val="28"/>
                <w:szCs w:val="28"/>
              </w:rPr>
              <w:t>LĨNH VỰC THỂ DỤC, THỂ THAO</w:t>
            </w:r>
          </w:p>
        </w:tc>
      </w:tr>
      <w:tr w:rsidR="00CB258F" w:rsidRPr="00241048" w:rsidTr="00950CF6">
        <w:tc>
          <w:tcPr>
            <w:tcW w:w="835" w:type="dxa"/>
            <w:vAlign w:val="center"/>
          </w:tcPr>
          <w:p w:rsidR="00CB258F" w:rsidRPr="00241048" w:rsidRDefault="00CB258F" w:rsidP="00950CF6">
            <w:pPr>
              <w:spacing w:before="120" w:after="120" w:line="340" w:lineRule="exact"/>
              <w:jc w:val="center"/>
              <w:rPr>
                <w:rFonts w:ascii="Times New Roman" w:hAnsi="Times New Roman"/>
                <w:sz w:val="28"/>
                <w:szCs w:val="28"/>
              </w:rPr>
            </w:pPr>
            <w:r w:rsidRPr="00241048">
              <w:rPr>
                <w:rFonts w:ascii="Times New Roman" w:hAnsi="Times New Roman"/>
                <w:sz w:val="28"/>
                <w:szCs w:val="28"/>
              </w:rPr>
              <w:t>7</w:t>
            </w:r>
          </w:p>
        </w:tc>
        <w:tc>
          <w:tcPr>
            <w:tcW w:w="1951" w:type="dxa"/>
            <w:vAlign w:val="center"/>
          </w:tcPr>
          <w:p w:rsidR="00CB258F" w:rsidRPr="00241048" w:rsidRDefault="00CB258F" w:rsidP="00950CF6">
            <w:pPr>
              <w:pStyle w:val="normal-p"/>
              <w:spacing w:before="120" w:after="120" w:line="340" w:lineRule="exact"/>
              <w:ind w:firstLine="0"/>
              <w:rPr>
                <w:sz w:val="28"/>
                <w:szCs w:val="28"/>
              </w:rPr>
            </w:pPr>
            <w:r w:rsidRPr="00241048">
              <w:rPr>
                <w:sz w:val="28"/>
                <w:szCs w:val="28"/>
              </w:rPr>
              <w:t>Thủ tục công nhận câu lạc bộ thể thao cơ sở</w:t>
            </w:r>
          </w:p>
        </w:tc>
        <w:tc>
          <w:tcPr>
            <w:tcW w:w="2743"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07 ngày làm việc kể từ ngày nhận đủ hồ sơ hợp lệ.</w:t>
            </w:r>
          </w:p>
        </w:tc>
        <w:tc>
          <w:tcPr>
            <w:tcW w:w="3118" w:type="dxa"/>
            <w:vAlign w:val="center"/>
          </w:tcPr>
          <w:p w:rsidR="00CB258F" w:rsidRPr="006709BD" w:rsidRDefault="00CB258F" w:rsidP="00950CF6">
            <w:pPr>
              <w:spacing w:before="120" w:after="120" w:line="340" w:lineRule="exact"/>
              <w:jc w:val="both"/>
              <w:rPr>
                <w:rFonts w:ascii="Times New Roman" w:hAnsi="Times New Roman"/>
                <w:b/>
                <w:bCs/>
                <w:sz w:val="28"/>
                <w:szCs w:val="28"/>
              </w:rPr>
            </w:pPr>
            <w:r w:rsidRPr="006709BD">
              <w:rPr>
                <w:rFonts w:ascii="Times New Roman" w:hAnsi="Times New Roman"/>
                <w:b/>
                <w:bCs/>
                <w:sz w:val="28"/>
                <w:szCs w:val="28"/>
              </w:rPr>
              <w:t>- Nơi tiếp nhận hồ sơ và trả kết quả giải quyết TTHC:</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 xml:space="preserve">Bộ phận tiếp nhận và trả kết quả giải quyết TTHC </w:t>
            </w:r>
            <w:r w:rsidRPr="00241048">
              <w:rPr>
                <w:rFonts w:ascii="Times New Roman" w:hAnsi="Times New Roman"/>
                <w:sz w:val="28"/>
                <w:szCs w:val="28"/>
              </w:rPr>
              <w:lastRenderedPageBreak/>
              <w:t>của UBND cấp xã.</w:t>
            </w:r>
          </w:p>
        </w:tc>
        <w:tc>
          <w:tcPr>
            <w:tcW w:w="1559" w:type="dxa"/>
            <w:vAlign w:val="center"/>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lastRenderedPageBreak/>
              <w:t>Chưa quy định</w:t>
            </w:r>
          </w:p>
        </w:tc>
        <w:tc>
          <w:tcPr>
            <w:tcW w:w="2410" w:type="dxa"/>
          </w:tcPr>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 xml:space="preserve">- Luật Thể dục, thể thao số 77/2006/QH11 ngày 29 tháng 11 năm 2006. Có hiệu lực thi hành từ </w:t>
            </w:r>
            <w:r w:rsidRPr="00241048">
              <w:rPr>
                <w:rFonts w:ascii="Times New Roman" w:hAnsi="Times New Roman"/>
                <w:sz w:val="28"/>
                <w:szCs w:val="28"/>
              </w:rPr>
              <w:lastRenderedPageBreak/>
              <w:t xml:space="preserve">ngày 01 tháng 7 năm 2007. </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 Nghị định số 112/2007/NĐ-CP ngày 26 tháng 6 năm 2007 của Chính phủ  quy định chi tiết và hướng dẫn thi hành một số điều của Luật Thế dục, Thể thao. Có hiệu lực thi hành từ ngày 03 tháng 8 năm 2007.</w:t>
            </w:r>
          </w:p>
          <w:p w:rsidR="00CB258F" w:rsidRPr="00241048" w:rsidRDefault="00CB258F" w:rsidP="00950CF6">
            <w:pPr>
              <w:spacing w:before="120" w:after="120" w:line="340" w:lineRule="exact"/>
              <w:jc w:val="both"/>
              <w:rPr>
                <w:rFonts w:ascii="Times New Roman" w:hAnsi="Times New Roman"/>
                <w:sz w:val="28"/>
                <w:szCs w:val="28"/>
              </w:rPr>
            </w:pPr>
            <w:r w:rsidRPr="00241048">
              <w:rPr>
                <w:rFonts w:ascii="Times New Roman" w:hAnsi="Times New Roman"/>
                <w:sz w:val="28"/>
                <w:szCs w:val="28"/>
              </w:rPr>
              <w:t xml:space="preserve">- Thông tư số 18/2011/TT-BVHTTDL ngày 02 tháng 12 năm 2011 của Bộ trưởng Bộ Văn hoá, Thể thao và Du lịch quy định mẫu về tổ chức và </w:t>
            </w:r>
            <w:r w:rsidRPr="00241048">
              <w:rPr>
                <w:rFonts w:ascii="Times New Roman" w:hAnsi="Times New Roman"/>
                <w:sz w:val="28"/>
                <w:szCs w:val="28"/>
              </w:rPr>
              <w:lastRenderedPageBreak/>
              <w:t>hoạt động của câu lạc bộ thể thao cơ sở. Có hiệu lực thi hành từ ngày 25 tháng 01 năm 2012.</w:t>
            </w:r>
          </w:p>
        </w:tc>
        <w:tc>
          <w:tcPr>
            <w:tcW w:w="1495" w:type="dxa"/>
            <w:vAlign w:val="center"/>
          </w:tcPr>
          <w:p w:rsidR="00CB258F" w:rsidRDefault="00CB258F" w:rsidP="00950CF6">
            <w:pPr>
              <w:spacing w:before="120" w:after="120" w:line="340" w:lineRule="exact"/>
              <w:jc w:val="center"/>
              <w:rPr>
                <w:rFonts w:ascii="Times New Roman" w:hAnsi="Times New Roman"/>
                <w:sz w:val="28"/>
                <w:szCs w:val="28"/>
              </w:rPr>
            </w:pPr>
            <w:r>
              <w:rPr>
                <w:rFonts w:ascii="Times New Roman" w:hAnsi="Times New Roman"/>
                <w:sz w:val="28"/>
                <w:szCs w:val="28"/>
              </w:rPr>
              <w:lastRenderedPageBreak/>
              <w:t>Một cửa</w:t>
            </w:r>
          </w:p>
          <w:p w:rsidR="00CB258F" w:rsidRPr="006709BD" w:rsidRDefault="00CB258F" w:rsidP="00950CF6">
            <w:pPr>
              <w:jc w:val="center"/>
              <w:rPr>
                <w:rFonts w:ascii="Times New Roman" w:hAnsi="Times New Roman"/>
                <w:sz w:val="28"/>
                <w:szCs w:val="28"/>
              </w:rPr>
            </w:pPr>
          </w:p>
        </w:tc>
      </w:tr>
    </w:tbl>
    <w:p w:rsidR="00CB258F" w:rsidRPr="00241048" w:rsidRDefault="00CB258F" w:rsidP="00CB258F">
      <w:pPr>
        <w:spacing w:before="120" w:after="120" w:line="340" w:lineRule="exact"/>
        <w:jc w:val="center"/>
        <w:rPr>
          <w:rFonts w:ascii="Times New Roman" w:hAnsi="Times New Roman"/>
          <w:sz w:val="28"/>
          <w:szCs w:val="28"/>
        </w:rPr>
      </w:pPr>
    </w:p>
    <w:p w:rsidR="00CB258F" w:rsidRPr="00241048" w:rsidRDefault="00CB258F" w:rsidP="00CB258F">
      <w:pPr>
        <w:spacing w:before="120" w:after="120" w:line="340" w:lineRule="exact"/>
        <w:jc w:val="center"/>
        <w:rPr>
          <w:rFonts w:ascii="Times New Roman" w:hAnsi="Times New Roman"/>
          <w:sz w:val="28"/>
          <w:szCs w:val="28"/>
        </w:rPr>
      </w:pPr>
    </w:p>
    <w:p w:rsidR="00CB258F" w:rsidRPr="00241048" w:rsidRDefault="00CB258F" w:rsidP="00CB258F">
      <w:pPr>
        <w:spacing w:after="120" w:line="240" w:lineRule="auto"/>
        <w:jc w:val="center"/>
        <w:rPr>
          <w:rFonts w:ascii="Times New Roman" w:hAnsi="Times New Roman"/>
          <w:sz w:val="28"/>
          <w:szCs w:val="28"/>
        </w:rPr>
      </w:pPr>
    </w:p>
    <w:p w:rsidR="00CB258F" w:rsidRPr="00587D69" w:rsidRDefault="00CB258F" w:rsidP="00CB258F"/>
    <w:p w:rsidR="002B6AE9" w:rsidRDefault="002B6AE9"/>
    <w:sectPr w:rsidR="002B6AE9" w:rsidSect="00587D69">
      <w:headerReference w:type="default" r:id="rId5"/>
      <w:footerReference w:type="even" r:id="rId6"/>
      <w:footerReference w:type="default" r:id="rId7"/>
      <w:pgSz w:w="16838" w:h="11906"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73" w:rsidRDefault="009A59F9" w:rsidP="00681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00B73" w:rsidRDefault="009A59F9" w:rsidP="006815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73" w:rsidRDefault="009A59F9" w:rsidP="00681587">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73" w:rsidRDefault="009A59F9">
    <w:pPr>
      <w:pStyle w:val="Header"/>
      <w:jc w:val="center"/>
    </w:pPr>
    <w:r>
      <w:fldChar w:fldCharType="begin"/>
    </w:r>
    <w:r>
      <w:instrText xml:space="preserve"> PAGE   \* ME</w:instrText>
    </w:r>
    <w:r>
      <w:instrText xml:space="preserve">RGEFORMAT </w:instrText>
    </w:r>
    <w:r>
      <w:fldChar w:fldCharType="separate"/>
    </w:r>
    <w:r>
      <w:rPr>
        <w:noProof/>
      </w:rPr>
      <w:t>1</w:t>
    </w:r>
    <w:r>
      <w:rPr>
        <w:noProof/>
      </w:rPr>
      <w:fldChar w:fldCharType="end"/>
    </w:r>
  </w:p>
  <w:p w:rsidR="00E00B73" w:rsidRDefault="009A5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8F"/>
    <w:rsid w:val="002B6AE9"/>
    <w:rsid w:val="009A59F9"/>
    <w:rsid w:val="00CB25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58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58F"/>
    <w:pPr>
      <w:tabs>
        <w:tab w:val="center" w:pos="4320"/>
        <w:tab w:val="right" w:pos="8640"/>
      </w:tabs>
      <w:spacing w:after="0" w:line="240" w:lineRule="auto"/>
    </w:pPr>
    <w:rPr>
      <w:rFonts w:ascii="Times New Roman" w:eastAsia="Times New Roman" w:hAnsi="Times New Roman"/>
      <w:sz w:val="28"/>
      <w:szCs w:val="24"/>
      <w:lang w:val="en-GB" w:eastAsia="en-GB"/>
    </w:rPr>
  </w:style>
  <w:style w:type="character" w:customStyle="1" w:styleId="FooterChar">
    <w:name w:val="Footer Char"/>
    <w:basedOn w:val="DefaultParagraphFont"/>
    <w:link w:val="Footer"/>
    <w:rsid w:val="00CB258F"/>
    <w:rPr>
      <w:rFonts w:ascii="Times New Roman" w:eastAsia="Times New Roman" w:hAnsi="Times New Roman" w:cs="Times New Roman"/>
      <w:sz w:val="28"/>
      <w:szCs w:val="24"/>
      <w:lang w:val="en-GB" w:eastAsia="en-GB"/>
    </w:rPr>
  </w:style>
  <w:style w:type="character" w:styleId="PageNumber">
    <w:name w:val="page number"/>
    <w:basedOn w:val="DefaultParagraphFont"/>
    <w:rsid w:val="00CB258F"/>
  </w:style>
  <w:style w:type="paragraph" w:styleId="Header">
    <w:name w:val="header"/>
    <w:basedOn w:val="Normal"/>
    <w:link w:val="HeaderChar"/>
    <w:uiPriority w:val="99"/>
    <w:unhideWhenUsed/>
    <w:rsid w:val="00CB258F"/>
    <w:pPr>
      <w:tabs>
        <w:tab w:val="center" w:pos="4680"/>
        <w:tab w:val="right" w:pos="9360"/>
      </w:tabs>
      <w:spacing w:after="0" w:line="240" w:lineRule="auto"/>
    </w:pPr>
    <w:rPr>
      <w:rFonts w:ascii="Times New Roman" w:eastAsia="Times New Roman" w:hAnsi="Times New Roman"/>
      <w:sz w:val="28"/>
      <w:szCs w:val="28"/>
      <w:lang w:val="en-GB" w:eastAsia="en-GB"/>
    </w:rPr>
  </w:style>
  <w:style w:type="character" w:customStyle="1" w:styleId="HeaderChar">
    <w:name w:val="Header Char"/>
    <w:basedOn w:val="DefaultParagraphFont"/>
    <w:link w:val="Header"/>
    <w:uiPriority w:val="99"/>
    <w:rsid w:val="00CB258F"/>
    <w:rPr>
      <w:rFonts w:ascii="Times New Roman" w:eastAsia="Times New Roman" w:hAnsi="Times New Roman" w:cs="Times New Roman"/>
      <w:sz w:val="28"/>
      <w:szCs w:val="28"/>
      <w:lang w:val="en-GB" w:eastAsia="en-GB"/>
    </w:rPr>
  </w:style>
  <w:style w:type="paragraph" w:styleId="NormalWeb">
    <w:name w:val="Normal (Web)"/>
    <w:basedOn w:val="Normal"/>
    <w:uiPriority w:val="99"/>
    <w:rsid w:val="00CB258F"/>
    <w:pPr>
      <w:spacing w:before="100" w:beforeAutospacing="1" w:after="100" w:afterAutospacing="1" w:line="240" w:lineRule="auto"/>
    </w:pPr>
    <w:rPr>
      <w:rFonts w:ascii="Times New Roman" w:eastAsia="Times New Roman" w:hAnsi="Times New Roman"/>
      <w:sz w:val="24"/>
      <w:szCs w:val="24"/>
    </w:rPr>
  </w:style>
  <w:style w:type="paragraph" w:customStyle="1" w:styleId="normal-p">
    <w:name w:val="normal-p"/>
    <w:basedOn w:val="Normal"/>
    <w:rsid w:val="00CB258F"/>
    <w:pPr>
      <w:spacing w:before="60" w:after="60" w:line="300" w:lineRule="atLeast"/>
      <w:ind w:firstLine="720"/>
      <w:jc w:val="both"/>
    </w:pPr>
    <w:rPr>
      <w:rFonts w:ascii="Times New Roman" w:eastAsia="Times New Roman" w:hAnsi="Times New Roman"/>
      <w:sz w:val="20"/>
      <w:szCs w:val="20"/>
    </w:rPr>
  </w:style>
  <w:style w:type="paragraph" w:styleId="NoSpacing">
    <w:name w:val="No Spacing"/>
    <w:uiPriority w:val="1"/>
    <w:qFormat/>
    <w:rsid w:val="00CB258F"/>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58F"/>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58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58F"/>
    <w:pPr>
      <w:tabs>
        <w:tab w:val="center" w:pos="4320"/>
        <w:tab w:val="right" w:pos="8640"/>
      </w:tabs>
      <w:spacing w:after="0" w:line="240" w:lineRule="auto"/>
    </w:pPr>
    <w:rPr>
      <w:rFonts w:ascii="Times New Roman" w:eastAsia="Times New Roman" w:hAnsi="Times New Roman"/>
      <w:sz w:val="28"/>
      <w:szCs w:val="24"/>
      <w:lang w:val="en-GB" w:eastAsia="en-GB"/>
    </w:rPr>
  </w:style>
  <w:style w:type="character" w:customStyle="1" w:styleId="FooterChar">
    <w:name w:val="Footer Char"/>
    <w:basedOn w:val="DefaultParagraphFont"/>
    <w:link w:val="Footer"/>
    <w:rsid w:val="00CB258F"/>
    <w:rPr>
      <w:rFonts w:ascii="Times New Roman" w:eastAsia="Times New Roman" w:hAnsi="Times New Roman" w:cs="Times New Roman"/>
      <w:sz w:val="28"/>
      <w:szCs w:val="24"/>
      <w:lang w:val="en-GB" w:eastAsia="en-GB"/>
    </w:rPr>
  </w:style>
  <w:style w:type="character" w:styleId="PageNumber">
    <w:name w:val="page number"/>
    <w:basedOn w:val="DefaultParagraphFont"/>
    <w:rsid w:val="00CB258F"/>
  </w:style>
  <w:style w:type="paragraph" w:styleId="Header">
    <w:name w:val="header"/>
    <w:basedOn w:val="Normal"/>
    <w:link w:val="HeaderChar"/>
    <w:uiPriority w:val="99"/>
    <w:unhideWhenUsed/>
    <w:rsid w:val="00CB258F"/>
    <w:pPr>
      <w:tabs>
        <w:tab w:val="center" w:pos="4680"/>
        <w:tab w:val="right" w:pos="9360"/>
      </w:tabs>
      <w:spacing w:after="0" w:line="240" w:lineRule="auto"/>
    </w:pPr>
    <w:rPr>
      <w:rFonts w:ascii="Times New Roman" w:eastAsia="Times New Roman" w:hAnsi="Times New Roman"/>
      <w:sz w:val="28"/>
      <w:szCs w:val="28"/>
      <w:lang w:val="en-GB" w:eastAsia="en-GB"/>
    </w:rPr>
  </w:style>
  <w:style w:type="character" w:customStyle="1" w:styleId="HeaderChar">
    <w:name w:val="Header Char"/>
    <w:basedOn w:val="DefaultParagraphFont"/>
    <w:link w:val="Header"/>
    <w:uiPriority w:val="99"/>
    <w:rsid w:val="00CB258F"/>
    <w:rPr>
      <w:rFonts w:ascii="Times New Roman" w:eastAsia="Times New Roman" w:hAnsi="Times New Roman" w:cs="Times New Roman"/>
      <w:sz w:val="28"/>
      <w:szCs w:val="28"/>
      <w:lang w:val="en-GB" w:eastAsia="en-GB"/>
    </w:rPr>
  </w:style>
  <w:style w:type="paragraph" w:styleId="NormalWeb">
    <w:name w:val="Normal (Web)"/>
    <w:basedOn w:val="Normal"/>
    <w:uiPriority w:val="99"/>
    <w:rsid w:val="00CB258F"/>
    <w:pPr>
      <w:spacing w:before="100" w:beforeAutospacing="1" w:after="100" w:afterAutospacing="1" w:line="240" w:lineRule="auto"/>
    </w:pPr>
    <w:rPr>
      <w:rFonts w:ascii="Times New Roman" w:eastAsia="Times New Roman" w:hAnsi="Times New Roman"/>
      <w:sz w:val="24"/>
      <w:szCs w:val="24"/>
    </w:rPr>
  </w:style>
  <w:style w:type="paragraph" w:customStyle="1" w:styleId="normal-p">
    <w:name w:val="normal-p"/>
    <w:basedOn w:val="Normal"/>
    <w:rsid w:val="00CB258F"/>
    <w:pPr>
      <w:spacing w:before="60" w:after="60" w:line="300" w:lineRule="atLeast"/>
      <w:ind w:firstLine="720"/>
      <w:jc w:val="both"/>
    </w:pPr>
    <w:rPr>
      <w:rFonts w:ascii="Times New Roman" w:eastAsia="Times New Roman" w:hAnsi="Times New Roman"/>
      <w:sz w:val="20"/>
      <w:szCs w:val="20"/>
    </w:rPr>
  </w:style>
  <w:style w:type="paragraph" w:styleId="NoSpacing">
    <w:name w:val="No Spacing"/>
    <w:uiPriority w:val="1"/>
    <w:qFormat/>
    <w:rsid w:val="00CB258F"/>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2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58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2022-02-25T01:49:00Z</cp:lastPrinted>
  <dcterms:created xsi:type="dcterms:W3CDTF">2022-02-25T01:39:00Z</dcterms:created>
  <dcterms:modified xsi:type="dcterms:W3CDTF">2022-02-25T01:50:00Z</dcterms:modified>
</cp:coreProperties>
</file>